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方正小标宋简体" w:hAnsi="方正小标宋简体" w:eastAsia="方正小标宋简体" w:cs="方正小标宋简体"/>
          <w:b w:val="0"/>
          <w:bCs w:val="0"/>
          <w:color w:val="0C0C0C"/>
          <w:sz w:val="44"/>
          <w:szCs w:val="44"/>
          <w:highlight w:val="none"/>
          <w:lang w:val="en-US"/>
        </w:rPr>
      </w:pPr>
      <w:r>
        <w:rPr>
          <w:rFonts w:hint="eastAsia" w:ascii="方正小标宋简体" w:hAnsi="方正小标宋简体" w:eastAsia="方正小标宋简体" w:cs="方正小标宋简体"/>
          <w:b w:val="0"/>
          <w:bCs w:val="0"/>
          <w:kern w:val="2"/>
          <w:sz w:val="44"/>
          <w:szCs w:val="44"/>
          <w:lang w:val="en-US" w:eastAsia="zh-CN" w:bidi="ar-SA"/>
        </w:rPr>
        <w:t>射线装置年度检测技术服务项目需求</w:t>
      </w:r>
    </w:p>
    <w:tbl>
      <w:tblPr>
        <w:tblStyle w:val="4"/>
        <w:tblW w:w="987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74"/>
        <w:gridCol w:w="880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4" w:hRule="atLeast"/>
          <w:jc w:val="center"/>
        </w:trPr>
        <w:tc>
          <w:tcPr>
            <w:tcW w:w="1074" w:type="dxa"/>
            <w:noWrap w:val="0"/>
            <w:vAlign w:val="center"/>
          </w:tcPr>
          <w:p>
            <w:pPr>
              <w:keepNext w:val="0"/>
              <w:keepLines w:val="0"/>
              <w:pageBreakBefore w:val="0"/>
              <w:widowControl w:val="0"/>
              <w:tabs>
                <w:tab w:val="left" w:pos="180"/>
                <w:tab w:val="left" w:pos="1620"/>
              </w:tabs>
              <w:kinsoku/>
              <w:wordWrap/>
              <w:overflowPunct/>
              <w:topLinePunct w:val="0"/>
              <w:autoSpaceDE/>
              <w:autoSpaceDN/>
              <w:bidi w:val="0"/>
              <w:adjustRightInd/>
              <w:snapToGrid/>
              <w:spacing w:line="400" w:lineRule="exact"/>
              <w:jc w:val="center"/>
              <w:textAlignment w:val="auto"/>
              <w:rPr>
                <w:rFonts w:hint="eastAsia" w:ascii="宋体" w:hAnsi="宋体" w:cs="宋体"/>
                <w:b/>
                <w:bCs/>
                <w:color w:val="0C0C0C"/>
                <w:szCs w:val="21"/>
                <w:highlight w:val="none"/>
              </w:rPr>
            </w:pPr>
            <w:r>
              <w:rPr>
                <w:rFonts w:hint="eastAsia" w:ascii="宋体" w:hAnsi="宋体" w:cs="宋体"/>
                <w:b/>
                <w:bCs/>
                <w:color w:val="0C0C0C"/>
                <w:szCs w:val="21"/>
                <w:highlight w:val="none"/>
              </w:rPr>
              <w:t>项目名称</w:t>
            </w:r>
          </w:p>
        </w:tc>
        <w:tc>
          <w:tcPr>
            <w:tcW w:w="8805" w:type="dxa"/>
            <w:noWrap w:val="0"/>
            <w:vAlign w:val="center"/>
          </w:tcPr>
          <w:p>
            <w:pPr>
              <w:keepNext w:val="0"/>
              <w:keepLines w:val="0"/>
              <w:pageBreakBefore w:val="0"/>
              <w:widowControl w:val="0"/>
              <w:tabs>
                <w:tab w:val="left" w:pos="180"/>
                <w:tab w:val="left" w:pos="1620"/>
              </w:tabs>
              <w:kinsoku/>
              <w:wordWrap/>
              <w:overflowPunct/>
              <w:topLinePunct w:val="0"/>
              <w:autoSpaceDE/>
              <w:autoSpaceDN/>
              <w:bidi w:val="0"/>
              <w:adjustRightInd/>
              <w:snapToGrid/>
              <w:spacing w:line="400" w:lineRule="exact"/>
              <w:jc w:val="center"/>
              <w:textAlignment w:val="auto"/>
              <w:rPr>
                <w:rFonts w:hint="eastAsia" w:ascii="宋体" w:hAnsi="宋体" w:cs="宋体"/>
                <w:b/>
                <w:bCs/>
                <w:color w:val="0C0C0C"/>
                <w:szCs w:val="21"/>
                <w:highlight w:val="none"/>
              </w:rPr>
            </w:pPr>
            <w:r>
              <w:rPr>
                <w:rFonts w:hint="eastAsia" w:ascii="宋体" w:hAnsi="宋体" w:cs="宋体"/>
                <w:b/>
                <w:bCs/>
                <w:color w:val="0C0C0C"/>
                <w:szCs w:val="21"/>
                <w:highlight w:val="none"/>
              </w:rPr>
              <w:t>服务需求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785" w:hRule="atLeast"/>
          <w:jc w:val="center"/>
        </w:trPr>
        <w:tc>
          <w:tcPr>
            <w:tcW w:w="1074" w:type="dxa"/>
            <w:noWrap w:val="0"/>
            <w:vAlign w:val="center"/>
          </w:tcPr>
          <w:p>
            <w:pPr>
              <w:keepNext w:val="0"/>
              <w:keepLines w:val="0"/>
              <w:pageBreakBefore w:val="0"/>
              <w:widowControl w:val="0"/>
              <w:tabs>
                <w:tab w:val="left" w:pos="180"/>
                <w:tab w:val="left" w:pos="1620"/>
              </w:tabs>
              <w:kinsoku/>
              <w:wordWrap/>
              <w:overflowPunct/>
              <w:topLinePunct w:val="0"/>
              <w:autoSpaceDE/>
              <w:autoSpaceDN/>
              <w:bidi w:val="0"/>
              <w:adjustRightInd/>
              <w:snapToGrid/>
              <w:spacing w:line="400" w:lineRule="exact"/>
              <w:jc w:val="left"/>
              <w:textAlignment w:val="auto"/>
              <w:rPr>
                <w:rFonts w:hint="default" w:ascii="仿宋_GB2312" w:hAnsi="仿宋_GB2312" w:eastAsia="仿宋_GB2312" w:cs="仿宋_GB2312"/>
                <w:color w:val="0C0C0C"/>
                <w:sz w:val="21"/>
                <w:szCs w:val="21"/>
                <w:highlight w:val="none"/>
                <w:lang w:val="en-US" w:eastAsia="zh-CN"/>
              </w:rPr>
            </w:pPr>
            <w:r>
              <w:rPr>
                <w:rFonts w:hint="default" w:ascii="仿宋_GB2312" w:hAnsi="仿宋_GB2312" w:eastAsia="仿宋_GB2312" w:cs="仿宋_GB2312"/>
                <w:color w:val="0C0C0C"/>
                <w:sz w:val="21"/>
                <w:szCs w:val="21"/>
                <w:highlight w:val="none"/>
                <w:lang w:val="en-US" w:eastAsia="zh-CN"/>
              </w:rPr>
              <w:t>射线装置年度检测技术服务</w:t>
            </w:r>
          </w:p>
        </w:tc>
        <w:tc>
          <w:tcPr>
            <w:tcW w:w="8805" w:type="dxa"/>
            <w:noWrap w:val="0"/>
            <w:vAlign w:val="center"/>
          </w:tcPr>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jc w:val="both"/>
              <w:textAlignment w:val="baseline"/>
              <w:rPr>
                <w:rFonts w:hint="eastAsia" w:ascii="微软雅黑" w:hAnsi="微软雅黑" w:eastAsia="微软雅黑" w:cs="微软雅黑"/>
                <w:color w:val="0C0C0C"/>
                <w:sz w:val="21"/>
                <w:szCs w:val="21"/>
                <w:highlight w:val="none"/>
                <w:lang w:val="en-US" w:eastAsia="zh-CN"/>
              </w:rPr>
            </w:pPr>
            <w:bookmarkStart w:id="0" w:name="_GoBack"/>
            <w:r>
              <w:rPr>
                <w:rFonts w:hint="eastAsia" w:ascii="微软雅黑" w:hAnsi="微软雅黑" w:eastAsia="微软雅黑" w:cs="微软雅黑"/>
                <w:color w:val="0C0C0C"/>
                <w:kern w:val="2"/>
                <w:sz w:val="21"/>
                <w:szCs w:val="21"/>
                <w:lang w:val="en-US" w:eastAsia="zh-CN" w:bidi="ar-SA"/>
              </w:rPr>
              <w:t>1、</w:t>
            </w:r>
            <w:r>
              <w:rPr>
                <w:rFonts w:hint="eastAsia" w:ascii="微软雅黑" w:hAnsi="微软雅黑" w:eastAsia="微软雅黑" w:cs="微软雅黑"/>
                <w:b w:val="0"/>
                <w:bCs/>
                <w:color w:val="000000"/>
                <w:sz w:val="21"/>
                <w:szCs w:val="21"/>
                <w:highlight w:val="none"/>
              </w:rPr>
              <w:t>供应商（服务商）</w:t>
            </w:r>
            <w:r>
              <w:rPr>
                <w:rFonts w:hint="eastAsia" w:ascii="微软雅黑" w:hAnsi="微软雅黑" w:eastAsia="微软雅黑" w:cs="微软雅黑"/>
                <w:color w:val="0C0C0C"/>
                <w:sz w:val="21"/>
                <w:szCs w:val="21"/>
                <w:highlight w:val="none"/>
                <w:lang w:val="en-US" w:eastAsia="zh-CN"/>
              </w:rPr>
              <w:t>应具备广西壮族自治区内卫生行政主管部门颁发的</w:t>
            </w:r>
            <w:r>
              <w:rPr>
                <w:rFonts w:hint="eastAsia" w:ascii="微软雅黑" w:hAnsi="微软雅黑" w:eastAsia="微软雅黑" w:cs="微软雅黑"/>
                <w:b/>
                <w:bCs/>
                <w:color w:val="0C0C0C"/>
                <w:sz w:val="21"/>
                <w:szCs w:val="21"/>
                <w:highlight w:val="none"/>
                <w:lang w:val="en-US" w:eastAsia="zh-CN"/>
              </w:rPr>
              <w:t>《放射卫生技术服务机构资质证书》资质</w:t>
            </w:r>
            <w:r>
              <w:rPr>
                <w:rFonts w:hint="eastAsia" w:ascii="微软雅黑" w:hAnsi="微软雅黑" w:eastAsia="微软雅黑" w:cs="微软雅黑"/>
                <w:color w:val="0C0C0C"/>
                <w:sz w:val="21"/>
                <w:szCs w:val="21"/>
                <w:highlight w:val="none"/>
                <w:lang w:val="en-US" w:eastAsia="zh-CN"/>
              </w:rPr>
              <w:t>，并提供有效的检测资质证明复印件；</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jc w:val="both"/>
              <w:textAlignment w:val="baseline"/>
              <w:rPr>
                <w:rFonts w:hint="eastAsia" w:ascii="微软雅黑" w:hAnsi="微软雅黑" w:eastAsia="微软雅黑" w:cs="微软雅黑"/>
                <w:color w:val="0C0C0C"/>
                <w:sz w:val="21"/>
                <w:szCs w:val="21"/>
                <w:highlight w:val="none"/>
                <w:lang w:val="en-US" w:eastAsia="zh-CN"/>
              </w:rPr>
            </w:pPr>
            <w:r>
              <w:rPr>
                <w:rFonts w:hint="eastAsia" w:ascii="微软雅黑" w:hAnsi="微软雅黑" w:eastAsia="微软雅黑" w:cs="微软雅黑"/>
                <w:b w:val="0"/>
                <w:bCs/>
                <w:color w:val="000000"/>
                <w:kern w:val="2"/>
                <w:sz w:val="21"/>
                <w:szCs w:val="21"/>
                <w:lang w:val="en-US" w:eastAsia="zh-CN" w:bidi="ar-SA"/>
              </w:rPr>
              <w:t>2、</w:t>
            </w:r>
            <w:r>
              <w:rPr>
                <w:rFonts w:hint="eastAsia" w:ascii="微软雅黑" w:hAnsi="微软雅黑" w:eastAsia="微软雅黑" w:cs="微软雅黑"/>
                <w:b w:val="0"/>
                <w:bCs/>
                <w:color w:val="000000"/>
                <w:sz w:val="21"/>
                <w:szCs w:val="21"/>
                <w:highlight w:val="none"/>
              </w:rPr>
              <w:t>供应商（服务商）</w:t>
            </w:r>
            <w:r>
              <w:rPr>
                <w:rFonts w:hint="eastAsia" w:ascii="微软雅黑" w:hAnsi="微软雅黑" w:eastAsia="微软雅黑" w:cs="微软雅黑"/>
                <w:color w:val="0C0C0C"/>
                <w:sz w:val="21"/>
                <w:szCs w:val="21"/>
                <w:highlight w:val="none"/>
                <w:lang w:val="en-US" w:eastAsia="zh-CN"/>
              </w:rPr>
              <w:t>应具备的</w:t>
            </w:r>
            <w:r>
              <w:rPr>
                <w:rFonts w:hint="eastAsia" w:ascii="微软雅黑" w:hAnsi="微软雅黑" w:eastAsia="微软雅黑" w:cs="微软雅黑"/>
                <w:b/>
                <w:bCs/>
                <w:color w:val="0C0C0C"/>
                <w:sz w:val="21"/>
                <w:szCs w:val="21"/>
                <w:highlight w:val="none"/>
                <w:lang w:val="en-US" w:eastAsia="zh-CN"/>
              </w:rPr>
              <w:t>计量认证证书(CMA)</w:t>
            </w:r>
            <w:r>
              <w:rPr>
                <w:rFonts w:hint="eastAsia" w:ascii="微软雅黑" w:hAnsi="微软雅黑" w:eastAsia="微软雅黑" w:cs="微软雅黑"/>
                <w:color w:val="0C0C0C"/>
                <w:sz w:val="21"/>
                <w:szCs w:val="21"/>
                <w:highlight w:val="none"/>
                <w:lang w:val="en-US" w:eastAsia="zh-CN"/>
              </w:rPr>
              <w:t>，提供有效的资质证书复印件；</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jc w:val="both"/>
              <w:textAlignment w:val="baseline"/>
              <w:rPr>
                <w:rFonts w:hint="default"/>
                <w:lang w:val="en-US" w:eastAsia="zh-CN"/>
              </w:rPr>
            </w:pPr>
            <w:r>
              <w:rPr>
                <w:rFonts w:hint="eastAsia" w:ascii="微软雅黑" w:hAnsi="微软雅黑" w:eastAsia="微软雅黑" w:cs="微软雅黑"/>
                <w:b w:val="0"/>
                <w:bCs/>
                <w:color w:val="000000"/>
                <w:kern w:val="2"/>
                <w:sz w:val="21"/>
                <w:szCs w:val="21"/>
                <w:lang w:val="en-US" w:eastAsia="zh-CN" w:bidi="ar-SA"/>
              </w:rPr>
              <w:t>3、</w:t>
            </w:r>
            <w:r>
              <w:rPr>
                <w:rFonts w:hint="eastAsia" w:ascii="微软雅黑" w:hAnsi="微软雅黑" w:eastAsia="微软雅黑" w:cs="微软雅黑"/>
                <w:b w:val="0"/>
                <w:bCs/>
                <w:color w:val="000000"/>
                <w:sz w:val="21"/>
                <w:szCs w:val="21"/>
                <w:highlight w:val="none"/>
              </w:rPr>
              <w:t>供应商（服务商）</w:t>
            </w:r>
            <w:r>
              <w:rPr>
                <w:rFonts w:hint="eastAsia" w:ascii="微软雅黑" w:hAnsi="微软雅黑" w:eastAsia="微软雅黑" w:cs="微软雅黑"/>
                <w:color w:val="0C0C0C"/>
                <w:sz w:val="21"/>
                <w:szCs w:val="21"/>
                <w:highlight w:val="none"/>
                <w:lang w:val="en-US" w:eastAsia="zh-CN"/>
              </w:rPr>
              <w:t>应具备由</w:t>
            </w:r>
            <w:r>
              <w:rPr>
                <w:rFonts w:hint="eastAsia" w:ascii="微软雅黑" w:hAnsi="微软雅黑" w:eastAsia="微软雅黑" w:cs="微软雅黑"/>
                <w:b/>
                <w:bCs/>
                <w:color w:val="0C0C0C"/>
                <w:sz w:val="21"/>
                <w:szCs w:val="21"/>
                <w:highlight w:val="none"/>
                <w:lang w:val="en-US" w:eastAsia="zh-CN"/>
              </w:rPr>
              <w:t>广西壮族自治区内环境主管部门下发的辐射监测资质机构认定批复文件证明</w:t>
            </w:r>
            <w:r>
              <w:rPr>
                <w:rFonts w:hint="eastAsia" w:ascii="微软雅黑" w:hAnsi="微软雅黑" w:eastAsia="微软雅黑" w:cs="微软雅黑"/>
                <w:color w:val="0C0C0C"/>
                <w:sz w:val="21"/>
                <w:szCs w:val="21"/>
                <w:highlight w:val="none"/>
                <w:lang w:val="en-US" w:eastAsia="zh-CN"/>
              </w:rPr>
              <w:t>复印件；</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jc w:val="both"/>
              <w:textAlignment w:val="baseline"/>
              <w:rPr>
                <w:rFonts w:hint="default" w:ascii="微软雅黑" w:hAnsi="微软雅黑" w:eastAsia="微软雅黑" w:cs="微软雅黑"/>
                <w:color w:val="0C0C0C"/>
                <w:sz w:val="21"/>
                <w:szCs w:val="21"/>
                <w:highlight w:val="none"/>
                <w:lang w:val="en-US" w:eastAsia="zh-CN"/>
              </w:rPr>
            </w:pPr>
            <w:r>
              <w:rPr>
                <w:rFonts w:hint="eastAsia" w:ascii="微软雅黑" w:hAnsi="微软雅黑" w:eastAsia="微软雅黑" w:cs="微软雅黑"/>
                <w:b w:val="0"/>
                <w:bCs/>
                <w:color w:val="000000"/>
                <w:kern w:val="2"/>
                <w:sz w:val="21"/>
                <w:szCs w:val="21"/>
                <w:lang w:val="en-US" w:eastAsia="zh-CN" w:bidi="ar-SA"/>
              </w:rPr>
              <w:t>4、</w:t>
            </w:r>
            <w:r>
              <w:rPr>
                <w:rFonts w:hint="eastAsia" w:ascii="微软雅黑" w:hAnsi="微软雅黑" w:eastAsia="微软雅黑" w:cs="微软雅黑"/>
                <w:b w:val="0"/>
                <w:bCs/>
                <w:color w:val="000000"/>
                <w:sz w:val="21"/>
                <w:szCs w:val="21"/>
                <w:highlight w:val="none"/>
              </w:rPr>
              <w:t>供应商（服务商）必须是在中华人民共和国境内注册的具有独立承担民事责任能力的法人或其他组织。提供</w:t>
            </w:r>
            <w:r>
              <w:rPr>
                <w:rFonts w:hint="eastAsia" w:ascii="微软雅黑" w:hAnsi="微软雅黑" w:eastAsia="微软雅黑" w:cs="微软雅黑"/>
                <w:b/>
                <w:bCs w:val="0"/>
                <w:color w:val="000000"/>
                <w:sz w:val="21"/>
                <w:szCs w:val="21"/>
                <w:highlight w:val="none"/>
              </w:rPr>
              <w:t>营业执照</w:t>
            </w:r>
            <w:r>
              <w:rPr>
                <w:rFonts w:hint="eastAsia" w:ascii="微软雅黑" w:hAnsi="微软雅黑" w:eastAsia="微软雅黑" w:cs="微软雅黑"/>
                <w:b w:val="0"/>
                <w:bCs/>
                <w:color w:val="000000"/>
                <w:sz w:val="21"/>
                <w:szCs w:val="21"/>
                <w:highlight w:val="none"/>
              </w:rPr>
              <w:t>（或事业单位法人证书，或社会团体法人登记证书，或执业许可证等证明文件）复印件（加盖公章）</w:t>
            </w:r>
            <w:r>
              <w:rPr>
                <w:rFonts w:hint="eastAsia" w:ascii="微软雅黑" w:hAnsi="微软雅黑" w:eastAsia="微软雅黑" w:cs="微软雅黑"/>
                <w:color w:val="0C0C0C"/>
                <w:sz w:val="21"/>
                <w:szCs w:val="21"/>
                <w:highlight w:val="none"/>
                <w:lang w:val="en-US" w:eastAsia="zh-CN"/>
              </w:rPr>
              <w:t>；</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jc w:val="both"/>
              <w:textAlignment w:val="baseline"/>
              <w:rPr>
                <w:rFonts w:hint="eastAsia" w:ascii="微软雅黑" w:hAnsi="微软雅黑" w:eastAsia="微软雅黑" w:cs="微软雅黑"/>
                <w:b w:val="0"/>
                <w:bCs/>
                <w:color w:val="000000"/>
                <w:sz w:val="21"/>
                <w:szCs w:val="21"/>
                <w:highlight w:val="none"/>
                <w:lang w:eastAsia="zh-CN"/>
              </w:rPr>
            </w:pPr>
            <w:r>
              <w:rPr>
                <w:rFonts w:hint="eastAsia" w:ascii="微软雅黑" w:hAnsi="微软雅黑" w:eastAsia="微软雅黑" w:cs="微软雅黑"/>
                <w:b w:val="0"/>
                <w:bCs/>
                <w:color w:val="000000"/>
                <w:kern w:val="2"/>
                <w:sz w:val="21"/>
                <w:szCs w:val="21"/>
                <w:lang w:val="en-US" w:eastAsia="zh-CN" w:bidi="ar-SA"/>
              </w:rPr>
              <w:t>5、</w:t>
            </w:r>
            <w:r>
              <w:rPr>
                <w:rFonts w:hint="eastAsia" w:ascii="微软雅黑" w:hAnsi="微软雅黑" w:eastAsia="微软雅黑" w:cs="微软雅黑"/>
                <w:b w:val="0"/>
                <w:bCs/>
                <w:color w:val="000000"/>
                <w:sz w:val="21"/>
                <w:szCs w:val="21"/>
                <w:highlight w:val="none"/>
              </w:rPr>
              <w:t>供应商（服务商）参与本项目投标前三年内在经营活动中没有重大违法记录和参与本项目政府采购活动时不存在被政府主管部门禁止参与政府采购活动且在有效期内的情况</w:t>
            </w:r>
            <w:r>
              <w:rPr>
                <w:rFonts w:hint="eastAsia" w:ascii="微软雅黑" w:hAnsi="微软雅黑" w:eastAsia="微软雅黑" w:cs="微软雅黑"/>
                <w:b w:val="0"/>
                <w:bCs/>
                <w:color w:val="000000"/>
                <w:sz w:val="21"/>
                <w:szCs w:val="21"/>
                <w:highlight w:val="none"/>
                <w:lang w:eastAsia="zh-CN"/>
              </w:rPr>
              <w:t>；</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jc w:val="both"/>
              <w:textAlignment w:val="baseline"/>
              <w:rPr>
                <w:rFonts w:hint="eastAsia" w:ascii="微软雅黑" w:hAnsi="微软雅黑" w:eastAsia="微软雅黑" w:cs="微软雅黑"/>
                <w:b w:val="0"/>
                <w:bCs/>
                <w:color w:val="000000"/>
                <w:sz w:val="21"/>
                <w:szCs w:val="21"/>
                <w:highlight w:val="none"/>
                <w:lang w:eastAsia="zh-CN"/>
              </w:rPr>
            </w:pPr>
            <w:r>
              <w:rPr>
                <w:rFonts w:hint="eastAsia" w:ascii="微软雅黑" w:hAnsi="微软雅黑" w:eastAsia="微软雅黑" w:cs="微软雅黑"/>
                <w:b w:val="0"/>
                <w:bCs/>
                <w:color w:val="000000"/>
                <w:kern w:val="2"/>
                <w:sz w:val="21"/>
                <w:szCs w:val="21"/>
                <w:lang w:val="en-US" w:eastAsia="zh-CN" w:bidi="ar-SA"/>
              </w:rPr>
              <w:t>6、</w:t>
            </w:r>
            <w:r>
              <w:rPr>
                <w:rFonts w:hint="eastAsia" w:ascii="微软雅黑" w:hAnsi="微软雅黑" w:eastAsia="微软雅黑" w:cs="微软雅黑"/>
                <w:b w:val="0"/>
                <w:bCs/>
                <w:color w:val="000000"/>
                <w:sz w:val="21"/>
                <w:szCs w:val="21"/>
                <w:highlight w:val="none"/>
              </w:rPr>
              <w:t>供应商（服务商）具备《中华人民共和国政府采购法》第二十二条规定的条件</w:t>
            </w:r>
            <w:r>
              <w:rPr>
                <w:rFonts w:hint="eastAsia" w:ascii="微软雅黑" w:hAnsi="微软雅黑" w:eastAsia="微软雅黑" w:cs="微软雅黑"/>
                <w:b w:val="0"/>
                <w:bCs/>
                <w:color w:val="000000"/>
                <w:sz w:val="21"/>
                <w:szCs w:val="21"/>
                <w:highlight w:val="none"/>
                <w:lang w:eastAsia="zh-CN"/>
              </w:rPr>
              <w:t>；</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jc w:val="both"/>
              <w:textAlignment w:val="baseline"/>
              <w:rPr>
                <w:rFonts w:hint="eastAsia" w:ascii="微软雅黑" w:hAnsi="微软雅黑" w:eastAsia="微软雅黑" w:cs="微软雅黑"/>
                <w:b w:val="0"/>
                <w:bCs/>
                <w:color w:val="000000"/>
                <w:sz w:val="21"/>
                <w:szCs w:val="21"/>
                <w:highlight w:val="none"/>
              </w:rPr>
            </w:pPr>
            <w:r>
              <w:rPr>
                <w:rFonts w:hint="eastAsia" w:ascii="微软雅黑" w:hAnsi="微软雅黑" w:eastAsia="微软雅黑" w:cs="微软雅黑"/>
                <w:b w:val="0"/>
                <w:bCs/>
                <w:color w:val="000000"/>
                <w:kern w:val="2"/>
                <w:sz w:val="21"/>
                <w:szCs w:val="21"/>
                <w:lang w:val="en-US" w:eastAsia="zh-CN" w:bidi="ar-SA"/>
              </w:rPr>
              <w:t>7、</w:t>
            </w:r>
            <w:r>
              <w:rPr>
                <w:rFonts w:hint="eastAsia" w:ascii="微软雅黑" w:hAnsi="微软雅黑" w:eastAsia="微软雅黑" w:cs="微软雅黑"/>
                <w:b w:val="0"/>
                <w:bCs/>
                <w:color w:val="000000"/>
                <w:sz w:val="21"/>
                <w:szCs w:val="21"/>
                <w:highlight w:val="none"/>
                <w:lang w:val="en-US" w:eastAsia="zh-CN"/>
              </w:rPr>
              <w:t>供应商（服务商）未被列入“信用中国”网站(www.creditchina.gov.cn)“失信被执行人或重大税收违法案件当事人名单或政府采购严重违法失信行为”记录名单；没有处于中国政府采购网(www.ccgp.gov.cn)“政府采购严重违法失信行为信息记录”中的禁止参加政府采购活动期间；</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jc w:val="both"/>
              <w:textAlignment w:val="baseline"/>
              <w:rPr>
                <w:rFonts w:hint="eastAsia" w:ascii="微软雅黑" w:hAnsi="微软雅黑" w:eastAsia="微软雅黑" w:cs="微软雅黑"/>
                <w:color w:val="0C0C0C"/>
                <w:sz w:val="21"/>
                <w:szCs w:val="21"/>
                <w:highlight w:val="none"/>
                <w:lang w:val="en-US" w:eastAsia="zh-CN"/>
              </w:rPr>
            </w:pPr>
            <w:r>
              <w:rPr>
                <w:rFonts w:hint="eastAsia" w:ascii="微软雅黑" w:hAnsi="微软雅黑" w:eastAsia="微软雅黑" w:cs="微软雅黑"/>
                <w:color w:val="0C0C0C"/>
                <w:kern w:val="2"/>
                <w:sz w:val="21"/>
                <w:szCs w:val="21"/>
                <w:lang w:val="en-US" w:eastAsia="zh-CN" w:bidi="ar-SA"/>
              </w:rPr>
              <w:t>8、</w:t>
            </w:r>
            <w:r>
              <w:rPr>
                <w:rFonts w:hint="eastAsia" w:ascii="微软雅黑" w:hAnsi="微软雅黑" w:eastAsia="微软雅黑" w:cs="微软雅黑"/>
                <w:b w:val="0"/>
                <w:bCs/>
                <w:color w:val="000000"/>
                <w:sz w:val="21"/>
                <w:szCs w:val="21"/>
                <w:highlight w:val="none"/>
              </w:rPr>
              <w:t>本项目不接受联合体投标，不允许分包、转包</w:t>
            </w:r>
            <w:r>
              <w:rPr>
                <w:rFonts w:hint="eastAsia" w:ascii="微软雅黑" w:hAnsi="微软雅黑" w:eastAsia="微软雅黑" w:cs="微软雅黑"/>
                <w:color w:val="0C0C0C"/>
                <w:sz w:val="21"/>
                <w:szCs w:val="21"/>
                <w:highlight w:val="none"/>
                <w:lang w:val="en-US" w:eastAsia="zh-CN"/>
              </w:rPr>
              <w:t>；</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jc w:val="both"/>
              <w:textAlignment w:val="baseline"/>
              <w:rPr>
                <w:rFonts w:hint="eastAsia" w:ascii="微软雅黑" w:hAnsi="微软雅黑" w:eastAsia="微软雅黑" w:cs="微软雅黑"/>
                <w:color w:val="0C0C0C"/>
                <w:sz w:val="21"/>
                <w:szCs w:val="21"/>
                <w:highlight w:val="none"/>
                <w:lang w:val="en-US" w:eastAsia="zh-CN"/>
              </w:rPr>
            </w:pPr>
            <w:r>
              <w:rPr>
                <w:rFonts w:hint="eastAsia" w:ascii="微软雅黑" w:hAnsi="微软雅黑" w:eastAsia="微软雅黑" w:cs="微软雅黑"/>
                <w:color w:val="0C0C0C"/>
                <w:sz w:val="21"/>
                <w:szCs w:val="21"/>
                <w:highlight w:val="none"/>
                <w:lang w:val="en-US" w:eastAsia="zh-CN"/>
              </w:rPr>
              <w:t>9、为保证服务效率与质量，</w:t>
            </w:r>
            <w:r>
              <w:rPr>
                <w:rFonts w:hint="eastAsia" w:ascii="微软雅黑" w:hAnsi="微软雅黑" w:eastAsia="微软雅黑" w:cs="微软雅黑"/>
                <w:b w:val="0"/>
                <w:bCs/>
                <w:color w:val="000000"/>
                <w:sz w:val="21"/>
                <w:szCs w:val="21"/>
                <w:highlight w:val="none"/>
              </w:rPr>
              <w:t>供应商（服务商）</w:t>
            </w:r>
            <w:r>
              <w:rPr>
                <w:rFonts w:hint="eastAsia" w:ascii="微软雅黑" w:hAnsi="微软雅黑" w:eastAsia="微软雅黑" w:cs="微软雅黑"/>
                <w:color w:val="0C0C0C"/>
                <w:sz w:val="21"/>
                <w:szCs w:val="21"/>
                <w:highlight w:val="none"/>
                <w:lang w:val="en-US" w:eastAsia="zh-CN"/>
              </w:rPr>
              <w:t>服务团队不少于30人（以社保缴费清单为准），并具备完整有序的技术服务方案、应急预案与项目实施流程，报告交付周期需自检测日起7个工作日内按时交付。</w:t>
            </w:r>
          </w:p>
          <w:p>
            <w:pPr>
              <w:pStyle w:val="6"/>
              <w:ind w:left="0" w:leftChars="0" w:firstLine="0" w:firstLineChars="0"/>
              <w:rPr>
                <w:rFonts w:hint="default"/>
                <w:lang w:val="en-US" w:eastAsia="zh-CN"/>
              </w:rPr>
            </w:pPr>
            <w:r>
              <w:rPr>
                <w:rFonts w:hint="eastAsia" w:ascii="微软雅黑" w:hAnsi="微软雅黑" w:eastAsia="微软雅黑" w:cs="微软雅黑"/>
                <w:color w:val="0C0C0C"/>
                <w:sz w:val="21"/>
                <w:szCs w:val="21"/>
                <w:highlight w:val="none"/>
                <w:lang w:val="en-US" w:eastAsia="zh-CN"/>
              </w:rPr>
              <w:t>10、为确保供应商（服务商）具备提供完整放射卫生技术服务管理的能力，供应商（服务商）需具备广西壮族自治区职业健康信息综合管理平台账号，并可在其平台子系统放射卫生技术服务机构应用系统内上传提交报告进行备案。</w:t>
            </w:r>
            <w:bookmarkEnd w:id="0"/>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9879" w:type="dxa"/>
            <w:gridSpan w:val="2"/>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color w:val="0C0C0C"/>
                <w:sz w:val="21"/>
                <w:szCs w:val="21"/>
                <w:highlight w:val="none"/>
                <w:lang w:val="en-US" w:eastAsia="zh-CN"/>
              </w:rPr>
            </w:pPr>
            <w:r>
              <w:rPr>
                <w:rFonts w:hint="eastAsia" w:ascii="仿宋_GB2312" w:hAnsi="仿宋_GB2312" w:eastAsia="仿宋_GB2312" w:cs="仿宋_GB2312"/>
                <w:b/>
                <w:color w:val="0C0C0C"/>
                <w:sz w:val="21"/>
                <w:szCs w:val="21"/>
                <w:highlight w:val="none"/>
                <w:lang w:val="en-US" w:eastAsia="zh-CN"/>
              </w:rPr>
              <w:t>其他：</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34" w:hRule="exact"/>
          <w:jc w:val="center"/>
        </w:trPr>
        <w:tc>
          <w:tcPr>
            <w:tcW w:w="9879"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jc w:val="both"/>
              <w:textAlignment w:val="baseline"/>
              <w:rPr>
                <w:rFonts w:hint="eastAsia" w:ascii="微软雅黑" w:hAnsi="微软雅黑" w:eastAsia="微软雅黑" w:cs="微软雅黑"/>
                <w:b w:val="0"/>
                <w:bCs/>
                <w:color w:val="000000"/>
                <w:kern w:val="2"/>
                <w:sz w:val="21"/>
                <w:szCs w:val="21"/>
                <w:lang w:val="en-US" w:eastAsia="zh-CN" w:bidi="ar-SA"/>
              </w:rPr>
            </w:pPr>
            <w:r>
              <w:rPr>
                <w:rFonts w:hint="eastAsia" w:ascii="微软雅黑" w:hAnsi="微软雅黑" w:eastAsia="微软雅黑" w:cs="微软雅黑"/>
                <w:b w:val="0"/>
                <w:bCs/>
                <w:color w:val="000000"/>
                <w:kern w:val="2"/>
                <w:sz w:val="21"/>
                <w:szCs w:val="21"/>
                <w:lang w:val="en-US" w:eastAsia="zh-CN" w:bidi="ar-SA"/>
              </w:rPr>
              <w:t>（一）服务期限：1年；</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jc w:val="both"/>
              <w:textAlignment w:val="baseline"/>
              <w:rPr>
                <w:rFonts w:hint="default" w:ascii="微软雅黑" w:hAnsi="微软雅黑" w:eastAsia="微软雅黑" w:cs="微软雅黑"/>
                <w:b w:val="0"/>
                <w:bCs/>
                <w:color w:val="000000"/>
                <w:kern w:val="2"/>
                <w:sz w:val="21"/>
                <w:szCs w:val="21"/>
                <w:lang w:val="en-US" w:eastAsia="zh-CN" w:bidi="ar-SA"/>
              </w:rPr>
            </w:pPr>
            <w:r>
              <w:rPr>
                <w:rFonts w:hint="eastAsia" w:ascii="微软雅黑" w:hAnsi="微软雅黑" w:eastAsia="微软雅黑" w:cs="微软雅黑"/>
                <w:b w:val="0"/>
                <w:bCs/>
                <w:color w:val="000000"/>
                <w:kern w:val="2"/>
                <w:sz w:val="21"/>
                <w:szCs w:val="21"/>
                <w:lang w:val="en-US" w:eastAsia="zh-CN" w:bidi="ar-SA"/>
              </w:rPr>
              <w:t>（二）服务地点：德保县人民医院；</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jc w:val="both"/>
              <w:textAlignment w:val="baseline"/>
              <w:rPr>
                <w:rFonts w:hint="eastAsia" w:ascii="微软雅黑" w:hAnsi="微软雅黑" w:eastAsia="微软雅黑" w:cs="微软雅黑"/>
                <w:b w:val="0"/>
                <w:bCs/>
                <w:color w:val="000000"/>
                <w:kern w:val="2"/>
                <w:sz w:val="21"/>
                <w:szCs w:val="21"/>
                <w:lang w:val="en-US" w:eastAsia="zh-CN" w:bidi="ar-SA"/>
              </w:rPr>
            </w:pPr>
            <w:r>
              <w:rPr>
                <w:rFonts w:hint="eastAsia" w:ascii="微软雅黑" w:hAnsi="微软雅黑" w:eastAsia="微软雅黑" w:cs="微软雅黑"/>
                <w:b w:val="0"/>
                <w:bCs/>
                <w:color w:val="000000"/>
                <w:kern w:val="2"/>
                <w:sz w:val="21"/>
                <w:szCs w:val="21"/>
                <w:lang w:val="en-US" w:eastAsia="zh-CN" w:bidi="ar-SA"/>
              </w:rPr>
              <w:t>（三）供应商（服务商）两年内同类性质服务不低于三家案例；</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jc w:val="both"/>
              <w:textAlignment w:val="baseline"/>
              <w:rPr>
                <w:rFonts w:hint="eastAsia" w:ascii="微软雅黑" w:hAnsi="微软雅黑" w:eastAsia="微软雅黑" w:cs="微软雅黑"/>
                <w:b w:val="0"/>
                <w:bCs/>
                <w:color w:val="000000"/>
                <w:kern w:val="2"/>
                <w:sz w:val="21"/>
                <w:szCs w:val="21"/>
                <w:lang w:val="en-US" w:eastAsia="zh-CN" w:bidi="ar-SA"/>
              </w:rPr>
            </w:pPr>
            <w:r>
              <w:rPr>
                <w:rFonts w:hint="eastAsia" w:ascii="微软雅黑" w:hAnsi="微软雅黑" w:eastAsia="微软雅黑" w:cs="微软雅黑"/>
                <w:b w:val="0"/>
                <w:bCs/>
                <w:color w:val="000000"/>
                <w:kern w:val="2"/>
                <w:sz w:val="21"/>
                <w:szCs w:val="21"/>
                <w:lang w:val="en-US" w:eastAsia="zh-CN" w:bidi="ar-SA"/>
              </w:rPr>
              <w:t>（四）供应商（服务商）具备提供Ⅱ类、Ⅲ类射线装置与磁共振设备性能检测的技术服务能力；</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jc w:val="both"/>
              <w:textAlignment w:val="baseline"/>
              <w:rPr>
                <w:rFonts w:hint="eastAsia" w:ascii="微软雅黑" w:hAnsi="微软雅黑" w:eastAsia="微软雅黑" w:cs="微软雅黑"/>
                <w:b w:val="0"/>
                <w:bCs/>
                <w:color w:val="000000"/>
                <w:kern w:val="2"/>
                <w:sz w:val="21"/>
                <w:szCs w:val="21"/>
                <w:lang w:val="en-US" w:eastAsia="zh-CN" w:bidi="ar-SA"/>
              </w:rPr>
            </w:pPr>
            <w:r>
              <w:rPr>
                <w:rFonts w:hint="eastAsia" w:ascii="微软雅黑" w:hAnsi="微软雅黑" w:eastAsia="微软雅黑" w:cs="微软雅黑"/>
                <w:b w:val="0"/>
                <w:bCs/>
                <w:color w:val="000000"/>
                <w:kern w:val="2"/>
                <w:sz w:val="21"/>
                <w:szCs w:val="21"/>
                <w:lang w:val="en-US" w:eastAsia="zh-CN" w:bidi="ar-SA"/>
              </w:rPr>
              <w:t>（五）供应商（服务商）出具报告需涵盖CMA章；</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00" w:lineRule="exact"/>
              <w:jc w:val="both"/>
              <w:textAlignment w:val="baseline"/>
              <w:rPr>
                <w:rFonts w:hint="eastAsia" w:ascii="微软雅黑" w:hAnsi="微软雅黑" w:eastAsia="微软雅黑" w:cs="微软雅黑"/>
                <w:b w:val="0"/>
                <w:bCs/>
                <w:color w:val="000000"/>
                <w:kern w:val="2"/>
                <w:sz w:val="21"/>
                <w:szCs w:val="21"/>
                <w:lang w:val="en-US" w:eastAsia="zh-CN" w:bidi="ar-SA"/>
              </w:rPr>
            </w:pPr>
            <w:r>
              <w:rPr>
                <w:rFonts w:hint="eastAsia" w:ascii="微软雅黑" w:hAnsi="微软雅黑" w:eastAsia="微软雅黑" w:cs="微软雅黑"/>
                <w:b w:val="0"/>
                <w:bCs/>
                <w:color w:val="000000"/>
                <w:kern w:val="2"/>
                <w:sz w:val="21"/>
                <w:szCs w:val="21"/>
                <w:lang w:val="en-US" w:eastAsia="zh-CN" w:bidi="ar-SA"/>
              </w:rPr>
              <w:t>（六）若有需专家评审项目，供应商（服务商）需有能力根据当地监管部门要求组织专家评审会；</w:t>
            </w:r>
          </w:p>
          <w:p>
            <w:pPr>
              <w:pStyle w:val="6"/>
              <w:ind w:left="0" w:leftChars="0" w:firstLine="0" w:firstLineChars="0"/>
              <w:rPr>
                <w:rFonts w:hint="default" w:ascii="仿宋" w:hAnsi="仿宋" w:eastAsia="仿宋" w:cs="仿宋"/>
                <w:b w:val="0"/>
                <w:bCs/>
                <w:color w:val="000000"/>
                <w:sz w:val="21"/>
                <w:szCs w:val="21"/>
                <w:highlight w:val="none"/>
                <w:lang w:val="en-US" w:eastAsia="zh-CN"/>
              </w:rPr>
            </w:pPr>
          </w:p>
        </w:tc>
      </w:tr>
    </w:tbl>
    <w:p>
      <w:pPr>
        <w:numPr>
          <w:ilvl w:val="0"/>
          <w:numId w:val="0"/>
        </w:numPr>
        <w:jc w:val="center"/>
        <w:rPr>
          <w:rFonts w:hint="default" w:ascii="宋体" w:hAnsi="宋体" w:eastAsia="宋体" w:cs="宋体"/>
          <w:b/>
          <w:bCs/>
          <w:i w:val="0"/>
          <w:iCs w:val="0"/>
          <w:caps w:val="0"/>
          <w:color w:val="000000"/>
          <w:spacing w:val="0"/>
          <w:sz w:val="24"/>
          <w:szCs w:val="24"/>
          <w:shd w:val="clear" w:fill="FFFFFF"/>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FangSong_GB2312">
    <w:altName w:val="仿宋_GB2312"/>
    <w:panose1 w:val="02010609030101010101"/>
    <w:charset w:val="86"/>
    <w:family w:val="modern"/>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A354B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Indent"/>
    <w:basedOn w:val="1"/>
    <w:next w:val="3"/>
    <w:qFormat/>
    <w:uiPriority w:val="0"/>
    <w:pPr>
      <w:ind w:firstLine="830" w:firstLineChars="352"/>
    </w:pPr>
    <w:rPr>
      <w:rFonts w:ascii="FangSong_GB2312" w:eastAsia="FangSong_GB2312"/>
      <w:kern w:val="0"/>
      <w:sz w:val="32"/>
      <w:szCs w:val="20"/>
    </w:rPr>
  </w:style>
  <w:style w:type="paragraph" w:styleId="3">
    <w:name w:val="envelope return"/>
    <w:basedOn w:val="1"/>
    <w:unhideWhenUsed/>
    <w:qFormat/>
    <w:uiPriority w:val="0"/>
    <w:pPr>
      <w:snapToGrid w:val="0"/>
    </w:pPr>
    <w:rPr>
      <w:rFonts w:ascii="Arial" w:hAnsi="Arial"/>
    </w:rPr>
  </w:style>
  <w:style w:type="paragraph" w:customStyle="1" w:styleId="6">
    <w:name w:val="表格文字"/>
    <w:basedOn w:val="2"/>
    <w:qFormat/>
    <w:uiPriority w:val="0"/>
    <w:pPr>
      <w:spacing w:before="25" w:after="25"/>
      <w:jc w:val="left"/>
    </w:pPr>
    <w:rPr>
      <w:rFonts w:ascii="Times New Roman" w:hAnsi="Times New Roman"/>
      <w:bCs/>
      <w:spacing w:val="10"/>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Office_11.8.2.11542_F1E327BC-269C-435d-A152-05C5408002CA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2026-11-02T01:50:25Z</dcterms:created>
  <dc:creator>Administrator</dc:creator>
  <cp:lastModifiedBy>Administrator</cp:lastModifiedBy>
  <dcterms:modified xsi:type="dcterms:W3CDTF">2026-11-02T01:51:39Z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2052-11.8.2.11542</vt:lpwstr>
  </property>
  <property fmtid="{D5CDD505-2E9C-101B-9397-08002B2CF9AE}" pid="3" name="ICV">
    <vt:lpwstr>B4BC05F625B74974BB0251250C9E3988</vt:lpwstr>
  </property>
</Properties>
</file>